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b/>
          <w:bCs/>
          <w:kern w:val="2"/>
          <w:sz w:val="30"/>
          <w:szCs w:val="30"/>
          <w:highlight w:val="none"/>
          <w:lang w:val="en-US" w:eastAsia="zh-CN" w:bidi="ar-SA"/>
        </w:rPr>
      </w:pPr>
      <w:r>
        <w:rPr>
          <w:rFonts w:hint="eastAsia" w:ascii="仿宋_GB2312" w:hAnsi="Calibri" w:eastAsia="仿宋_GB2312" w:cs="Times New Roman"/>
          <w:b/>
          <w:bCs/>
          <w:kern w:val="2"/>
          <w:sz w:val="30"/>
          <w:szCs w:val="30"/>
          <w:highlight w:val="none"/>
          <w:lang w:val="en-US" w:eastAsia="zh-CN" w:bidi="ar-SA"/>
        </w:rPr>
        <w:t>附件1</w:t>
      </w:r>
      <w:bookmarkStart w:id="0" w:name="_GoBack"/>
      <w:bookmarkEnd w:id="0"/>
      <w:r>
        <w:rPr>
          <w:rFonts w:hint="eastAsia" w:ascii="仿宋_GB2312" w:hAnsi="Calibri" w:eastAsia="仿宋_GB2312" w:cs="Times New Roman"/>
          <w:b/>
          <w:bCs/>
          <w:kern w:val="2"/>
          <w:sz w:val="30"/>
          <w:szCs w:val="30"/>
          <w:highlight w:val="none"/>
          <w:lang w:val="en-US" w:eastAsia="zh-CN" w:bidi="ar-SA"/>
        </w:rPr>
        <w:t>：</w:t>
      </w:r>
    </w:p>
    <w:p>
      <w:pPr>
        <w:rPr>
          <w:rFonts w:hint="eastAsia" w:ascii="仿宋_GB2312" w:hAnsi="Calibri" w:eastAsia="仿宋_GB2312" w:cs="Times New Roman"/>
          <w:b/>
          <w:bCs/>
          <w:kern w:val="2"/>
          <w:sz w:val="30"/>
          <w:szCs w:val="30"/>
          <w:highlight w:val="none"/>
          <w:lang w:val="en-US" w:eastAsia="zh-CN" w:bidi="ar-SA"/>
        </w:rPr>
      </w:pP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“揭榜挂帅”项目制实践活动选题要求</w:t>
      </w: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1.选题方向:“发展成就”——陕西省“千万工程”实施状况大调研</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内容概述:</w:t>
      </w:r>
      <w:r>
        <w:rPr>
          <w:rFonts w:hint="eastAsia" w:ascii="仿宋" w:hAnsi="仿宋" w:eastAsia="仿宋" w:cs="仿宋"/>
          <w:color w:val="auto"/>
          <w:kern w:val="2"/>
          <w:sz w:val="32"/>
          <w:szCs w:val="32"/>
          <w:lang w:val="en-US" w:eastAsia="zh-CN" w:bidi="ar-SA"/>
        </w:rPr>
        <w:t>选题旨在全面了解陕西省500个省级乡村振兴示范村实施“千万工程”的进展、成效及存在的问题，梳理示范村在“千万工程”实施过程中的创新做法和成功经验，形成可复制、可推广的乡村振兴模式，为乡村振兴战略的持续推进提供更为详实的数据支持和决策参考。</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2.选题方向：</w:t>
      </w:r>
      <w:r>
        <w:rPr>
          <w:rFonts w:hint="eastAsia" w:ascii="仿宋" w:hAnsi="仿宋" w:eastAsia="仿宋" w:cs="仿宋"/>
          <w:color w:val="auto"/>
          <w:kern w:val="2"/>
          <w:sz w:val="32"/>
          <w:szCs w:val="32"/>
          <w:lang w:val="en-US" w:eastAsia="zh-CN" w:bidi="ar-SA"/>
        </w:rPr>
        <w:t>“文明文化”——数字乡村建设助力乡村文化振兴战略</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内容概述：</w:t>
      </w:r>
      <w:r>
        <w:rPr>
          <w:rFonts w:hint="eastAsia" w:ascii="仿宋" w:hAnsi="仿宋" w:eastAsia="仿宋" w:cs="仿宋"/>
          <w:color w:val="auto"/>
          <w:kern w:val="2"/>
          <w:sz w:val="32"/>
          <w:szCs w:val="32"/>
          <w:lang w:val="en-US" w:eastAsia="zh-CN" w:bidi="ar-SA"/>
        </w:rPr>
        <w:t>2018年“数字乡村”概念第一次被写入我国中央一号文件，此后《数字乡村发展战略纲要》《数字乡村发展行动计划》等文件也相继发布。数字农业和数字乡村发展方面的探索和实践完善了乡村基础设施的数字化改造，这不仅为精准农业、智慧农业、设施农业、农业社会化服务等提供了可能，也为乡村文化振兴、中华优秀传统文化的传播提供了很好的平台。在推动数字乡村的过程中，注重数字技术与乡村文化传统的兼容，探索其助力乡村文化振兴的有效路径，推进乡村全面振兴。</w:t>
      </w:r>
    </w:p>
    <w:p>
      <w:p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3.选题方向:“美丽中国”——以生命智慧保护秦岭生物多样性</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内容概述：</w:t>
      </w:r>
      <w:r>
        <w:rPr>
          <w:rFonts w:hint="eastAsia" w:ascii="仿宋" w:hAnsi="仿宋" w:eastAsia="仿宋" w:cs="仿宋"/>
          <w:color w:val="auto"/>
          <w:kern w:val="2"/>
          <w:sz w:val="32"/>
          <w:szCs w:val="32"/>
          <w:lang w:val="en-US" w:eastAsia="zh-CN" w:bidi="ar-SA"/>
        </w:rPr>
        <w:t>秦岭是全球生物多样性最丰富的区域之一，拥有多种国家保护动植物，在气候极具变化的今天，保护秦岭生物多样性是每位农林高校师生刻不容缓的职责。选题旨在为保护秦岭生物多样性，促进生态保护工作的可持续发展，打造出集科普教育、法制宣传、计划制定，多样性监测为一体的智慧体系，为提高公众对生物多样性的保护意识，保护秦岭生物多样性提出科学依据与可行方法。</w:t>
      </w:r>
    </w:p>
    <w:p>
      <w:p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4.选题方向：“中国之治”——法治护航乡村振兴中的基层社会治理</w:t>
      </w:r>
    </w:p>
    <w:p>
      <w:pPr>
        <w:ind w:firstLine="643"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内容概述：</w:t>
      </w:r>
      <w:r>
        <w:rPr>
          <w:rFonts w:hint="eastAsia" w:ascii="仿宋" w:hAnsi="仿宋" w:eastAsia="仿宋" w:cs="仿宋"/>
          <w:color w:val="auto"/>
          <w:kern w:val="2"/>
          <w:sz w:val="32"/>
          <w:szCs w:val="32"/>
          <w:lang w:val="en-US" w:eastAsia="zh-CN" w:bidi="ar-SA"/>
        </w:rPr>
        <w:t>校地融合的法治小院模式是高校与司法行政机关联合打造的学生实践平台、村民法治教育平台、公益法律服务平台和矛盾纠纷化解平台，为打通法治乡村建设法治服务的“最后一公里”，聚焦法治乡村建设，打造集普法宣传、法律服务、人民调解等于一体的乡村公共法律服务“新样板”。法治小院模式为促进乡村治理体系和治理能力现代化、高质量建设现代公共法律服务体系、助力乡村振兴现代化提供了具有行之有效的参考路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OTZiZDA0MTZiNDRkMThiNGZmZDFjOTRmNmE4MzEifQ=="/>
  </w:docVars>
  <w:rsids>
    <w:rsidRoot w:val="59D00836"/>
    <w:rsid w:val="59D00836"/>
    <w:rsid w:val="6189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857</Characters>
  <Lines>0</Lines>
  <Paragraphs>0</Paragraphs>
  <TotalTime>1</TotalTime>
  <ScaleCrop>false</ScaleCrop>
  <LinksUpToDate>false</LinksUpToDate>
  <CharactersWithSpaces>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2024-06-27T02:30:00Z</dcterms:created>
  <dc:creator>郎蕊～Fannie</dc:creator>
  <cp:lastModifiedBy>郎蕊～Fannie</cp:lastModifiedBy>
  <dcterms:modified xsi:type="dcterms:W3CDTF">2024-06-28T09:51:39Z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117EC579230D483AA822C7814ED539A6_11</vt:lpwstr>
  </property>
</Properties>
</file>